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1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2"/>
        <w:numPr>
          <w:ilvl w:val="1"/>
          <w:numId w:val="1"/>
        </w:numPr>
        <w:spacing w:after="225" w:before="375"/>
        <w:contextualSpacing w:val="false"/>
        <w:textAlignment w:val="baseline"/>
        <w:rPr>
          <w:rFonts w:cs="Times New Roman"/>
          <w:b w:val="false"/>
          <w:bCs w:val="false"/>
          <w:color w:val="00000A"/>
          <w:spacing w:val="2"/>
        </w:rPr>
      </w:pPr>
      <w:r>
        <w:rPr>
          <w:rFonts w:cs="Times New Roman"/>
          <w:b w:val="false"/>
          <w:bCs w:val="false"/>
          <w:color w:val="00000A"/>
          <w:spacing w:val="2"/>
        </w:rPr>
      </w:r>
    </w:p>
    <w:p>
      <w:pPr>
        <w:pStyle w:val="style2"/>
        <w:numPr>
          <w:ilvl w:val="1"/>
          <w:numId w:val="1"/>
        </w:numPr>
        <w:spacing w:after="225" w:before="375"/>
        <w:contextualSpacing w:val="false"/>
        <w:textAlignment w:val="baseline"/>
        <w:rPr>
          <w:rFonts w:cs="Times New Roman"/>
          <w:b w:val="false"/>
          <w:bCs w:val="false"/>
          <w:color w:val="00000A"/>
          <w:spacing w:val="2"/>
        </w:rPr>
      </w:pPr>
      <w:r>
        <w:rPr>
          <w:rFonts w:cs="Times New Roman"/>
          <w:b w:val="false"/>
          <w:bCs w:val="false"/>
          <w:color w:val="00000A"/>
          <w:spacing w:val="2"/>
        </w:rPr>
      </w:r>
    </w:p>
    <w:p>
      <w:pPr>
        <w:pStyle w:val="style2"/>
        <w:numPr>
          <w:ilvl w:val="1"/>
          <w:numId w:val="1"/>
        </w:numPr>
        <w:spacing w:line="100" w:lineRule="atLeast"/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>ПОЛОЖЕНИЕ</w:t>
      </w:r>
    </w:p>
    <w:p>
      <w:pPr>
        <w:pStyle w:val="style2"/>
        <w:numPr>
          <w:ilvl w:val="1"/>
          <w:numId w:val="1"/>
        </w:numPr>
        <w:spacing w:line="100" w:lineRule="atLeast"/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 xml:space="preserve">  </w:t>
      </w:r>
      <w:r>
        <w:rPr>
          <w:rFonts w:cs="Times New Roman"/>
          <w:bCs w:val="false"/>
          <w:i w:val="false"/>
          <w:color w:val="00000A"/>
          <w:spacing w:val="2"/>
        </w:rPr>
        <w:t>о конкурсе "Самый пожаробезопасный жилой дом"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b/>
          <w:bCs/>
          <w:spacing w:val="2"/>
          <w:sz w:val="28"/>
          <w:szCs w:val="28"/>
        </w:rPr>
        <w:t>1. Общие положения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Настоящее положение разработано в соответствии с</w:t>
      </w:r>
      <w:r>
        <w:rPr>
          <w:rStyle w:val="style22"/>
          <w:spacing w:val="2"/>
          <w:sz w:val="28"/>
          <w:szCs w:val="28"/>
        </w:rPr>
        <w:t> </w:t>
      </w:r>
      <w:hyperlink r:id="rId2">
        <w:r>
          <w:rPr>
            <w:rStyle w:val="style21"/>
            <w:color w:val="00000A"/>
            <w:spacing w:val="2"/>
            <w:sz w:val="28"/>
            <w:szCs w:val="28"/>
            <w:u w:val="none"/>
          </w:rPr>
          <w:t>Федеральным законом от 21.12.1994 N 69-ФЗ "О пожарной безопасности"</w:t>
        </w:r>
      </w:hyperlink>
      <w:r>
        <w:rPr>
          <w:spacing w:val="2"/>
          <w:sz w:val="28"/>
          <w:szCs w:val="28"/>
        </w:rPr>
        <w:t>, Правилами противопожарного режима в Российской Федерации, утвержденными</w:t>
      </w:r>
      <w:r>
        <w:rPr>
          <w:rStyle w:val="style22"/>
          <w:spacing w:val="2"/>
          <w:sz w:val="28"/>
          <w:szCs w:val="28"/>
        </w:rPr>
        <w:t> </w:t>
      </w:r>
      <w:hyperlink r:id="rId3">
        <w:r>
          <w:rPr>
            <w:rStyle w:val="style21"/>
            <w:color w:val="00000A"/>
            <w:spacing w:val="2"/>
            <w:sz w:val="28"/>
            <w:szCs w:val="28"/>
            <w:u w:val="none"/>
          </w:rPr>
          <w:t>постановлением Правительства Российской Федерации от 25.04.2012 N 390</w:t>
        </w:r>
      </w:hyperlink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с целью обеспечения снижения риска возникновения пожаров, координации работы по вопросам противопожарной пропаганды и осуществления контроля за её выполнением.</w:t>
        <w:br/>
        <w:br/>
        <w:t>1.2. Конкурс "Самый пожаробезопасный жилой дом" (далее - конкурс) проводится по номинациям:</w:t>
        <w:br/>
        <w:br/>
        <w:t>- самый пожаробезопасный многоквартирный жилой дом;</w:t>
        <w:br/>
        <w:br/>
        <w:t>- самый пожаробезопасный частный жилой дом.</w:t>
        <w:br/>
        <w:br/>
        <w:t>1.3. К участию в конкурсе допускаются организации, обслуживающие жилой фонд и домовладельцы, своевременно подавшие заявку на участие в конкурсе.</w:t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 Порядок проведения конкурса.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 Конкурс проводится в три этапа:</w:t>
        <w:br/>
        <w:br/>
        <w:t>- первый этап конкурса проводится с 01 июля по 15 июля текущего года;</w:t>
        <w:br/>
        <w:br/>
        <w:t>- второй этап конкурса проводится с 16 июля по 25 июля текущего года;</w:t>
        <w:br/>
        <w:br/>
        <w:t>- третий этап конкурса проводится с 26 июля по 01 августа текущего года.</w:t>
        <w:br/>
        <w:br/>
        <w:t>2.2. Первый этап конкурса заключается в подаче заявок на участие в конкурсе организациями обслуживающими жилой фонд и домовладельцами в администрацию Новоталицкого сельского поселения Ивановского муниципального района (приложение N 3).</w:t>
        <w:br/>
        <w:br/>
        <w:t xml:space="preserve">2.3. Второй этап конкурса заключается в обследовании жилых домов, номинируемых на участие в конкурсе по критериям оценки пожарной безопасности, содержащимся в приложении N 4 и 5. Обследование указанных домов проводится комиссией по проведению конкурса с составлением акта оценки (приложение N 6) 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2.4. Третий этап конкурса заключается в подведении итогов конкурса.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Подведение итогов конкурса.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Итоги конкурса подводятся комиссией не позднее 01 августа текущего года на основании актов оценки, составленных по итогам обследования номинируемых жилых домов.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br/>
        <w:t>3.2. Решение комиссии принимается простым большинством голосов и оформляется соответствующим протоколом, подписанным председателем комиссии и секретарем комиссии.</w:t>
        <w:br/>
        <w:br/>
        <w:t>3.3. Объявление победителей конкурса проводится в день принятия решения комиссии о подведении итогов конкурса.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br/>
        <w:t>3.4. Победителями конкурса признаются участники конкурса, занявшие первые места в соответствующих номинациях.</w:t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4. Награждение победителей.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Победители конкурса в каждой номинации награждаются Почетной грамотой администрации Новоталицкого сельского поселения, вывеской с текстом названия номинации  «Самый пожаробезопасный многоквартирный жилой дом», «Самый пожаробезопасный частный жилой дом» и именными сертификатом размер которого устанавливается в соответствии с бюджетом Новоталицкого сельского поселения и приобретается в рамках муниципальной программы «Пожарная безопасность населенных пунктов Новоталицкого сельского поселения», действующей на момент проведения конкурса.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2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3"/>
        <w:widowControl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Состав</w:t>
      </w:r>
    </w:p>
    <w:p>
      <w:pPr>
        <w:pStyle w:val="style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конкурсной комиссии по подведению итогов конкурса «Самый пожаробезопасный жилой дом»</w:t>
      </w:r>
    </w:p>
    <w:p>
      <w:pPr>
        <w:pStyle w:val="style3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style34"/>
        <w:jc w:val="both"/>
        <w:rPr>
          <w:sz w:val="28"/>
          <w:szCs w:val="28"/>
        </w:rPr>
      </w:pPr>
      <w:r>
        <w:rPr>
          <w:sz w:val="28"/>
          <w:szCs w:val="28"/>
        </w:rPr>
        <w:t>Плохов П.Н. – глава Новоталицкого сельского поселения, председатель комиссии;</w:t>
      </w:r>
    </w:p>
    <w:p>
      <w:pPr>
        <w:pStyle w:val="style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Жинкин Ф.П. – ведущий специалист по направлению благоустройство администрации Новоталицкого сельского поселения, секретарь комиссии. </w:t>
      </w:r>
    </w:p>
    <w:p>
      <w:pPr>
        <w:pStyle w:val="style3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style34"/>
        <w:rPr>
          <w:sz w:val="28"/>
          <w:szCs w:val="28"/>
        </w:rPr>
      </w:pPr>
      <w:r>
        <w:rPr>
          <w:sz w:val="28"/>
          <w:szCs w:val="28"/>
        </w:rPr>
        <w:t xml:space="preserve">Ширков Р.В.  – заместитель главы администрации Новоталицкого сельского поселения  </w:t>
      </w:r>
    </w:p>
    <w:p>
      <w:pPr>
        <w:pStyle w:val="style34"/>
        <w:rPr>
          <w:sz w:val="28"/>
          <w:szCs w:val="28"/>
        </w:rPr>
      </w:pPr>
      <w:r>
        <w:rPr>
          <w:sz w:val="28"/>
          <w:szCs w:val="28"/>
        </w:rPr>
        <w:t>Шагалова О.А. – депутат Совета Новоталицкого сельского поселения;</w:t>
      </w:r>
    </w:p>
    <w:p>
      <w:pPr>
        <w:pStyle w:val="style34"/>
        <w:rPr>
          <w:sz w:val="28"/>
          <w:szCs w:val="28"/>
        </w:rPr>
      </w:pPr>
      <w:r>
        <w:rPr>
          <w:sz w:val="28"/>
          <w:szCs w:val="28"/>
        </w:rPr>
        <w:t>Сенин С.Б. – депутат Совета Новоталицкого сельского поселения.</w:t>
      </w:r>
    </w:p>
    <w:p>
      <w:pPr>
        <w:pStyle w:val="style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3"/>
        <w:widowControl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3"/>
        <w:widowControl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3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2"/>
        <w:numPr>
          <w:ilvl w:val="1"/>
          <w:numId w:val="1"/>
        </w:numPr>
        <w:spacing w:after="225" w:before="375"/>
        <w:contextualSpacing w:val="false"/>
        <w:textAlignment w:val="baseline"/>
        <w:rPr>
          <w:rFonts w:cs="Times New Roman"/>
          <w:b w:val="false"/>
          <w:bCs w:val="false"/>
          <w:color w:val="00000A"/>
          <w:spacing w:val="2"/>
        </w:rPr>
      </w:pPr>
      <w:r>
        <w:rPr>
          <w:rFonts w:cs="Times New Roman"/>
          <w:b w:val="false"/>
          <w:bCs w:val="false"/>
          <w:color w:val="00000A"/>
          <w:spacing w:val="2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ЗАЯВКА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участие в конкурсе "Самый пожаробезопасный жилой дом" по номинации _____________________________________________________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Наименование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обслуживающей организации, Ф.И.О. руководителя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t>(Ф.И.О. домовладельца): _________________________________________</w:t>
        <w:br/>
        <w:t>2. Юридический адрес (адрес места жительства): _____________________ _______________________________________________________________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3.Адрес представляемого на конкурс жилого дома: _______________________________________________________________</w:t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"___" ___________ 20      г.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_____________ /_____________________/</w:t>
        <w:br/>
        <w:t>(Фамилия и инициалы )</w:t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4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color w:val="00000A"/>
          <w:spacing w:val="2"/>
        </w:rPr>
      </w:pPr>
      <w:r>
        <w:rPr>
          <w:rFonts w:cs="Times New Roman"/>
          <w:bCs w:val="false"/>
          <w:color w:val="00000A"/>
          <w:spacing w:val="2"/>
        </w:rPr>
        <w:t xml:space="preserve"> </w:t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>КРИТЕРИИ ОЦЕНКИ</w:t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 xml:space="preserve"> </w:t>
      </w:r>
      <w:r>
        <w:rPr>
          <w:rFonts w:cs="Times New Roman"/>
          <w:bCs w:val="false"/>
          <w:i w:val="false"/>
          <w:color w:val="00000A"/>
          <w:spacing w:val="2"/>
        </w:rPr>
        <w:t>пожарной безопасности многоквартирного жилого дома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800"/>
        <w:gridCol w:w="4902"/>
        <w:gridCol w:w="2256"/>
        <w:gridCol w:w="3129"/>
      </w:tblGrid>
      <w:tr>
        <w:trPr>
          <w:trHeight w:hRule="atLeast" w:val="15"/>
          <w:cantSplit w:val="false"/>
        </w:trPr>
        <w:tc>
          <w:tcPr>
            <w:tcW w:type="dxa" w:w="80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49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25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312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Оценочный балл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граждан старше 14 лет, прошедших обучение мерам пожарной безопасности от общего количества проживающих в доме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10%-10</w:t>
            </w:r>
            <w:r>
              <w:rPr>
                <w:rStyle w:val="style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30% - 20</w:t>
            </w:r>
            <w:r>
              <w:rPr>
                <w:rStyle w:val="style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50% - 30</w:t>
            </w:r>
            <w:r>
              <w:rPr>
                <w:rStyle w:val="style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70% - 40</w:t>
            </w:r>
            <w:r>
              <w:rPr>
                <w:rStyle w:val="style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90% -50</w:t>
            </w:r>
            <w:r>
              <w:rPr>
                <w:rStyle w:val="style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100% - 100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наличием подтверждающих документов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противопожарной наглядной агитации на специально оборудованном стенде ("уголке пожарной безопасности") в месте доступном для проживающих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пожаров, загораний, произошедших в доме за последние 5 лет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пожар 10 баллов отнимается от набранной суммы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Пожары, загорания вошедшие в статучёт (книга учёта в отделе ГПН)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 прилегающей к зданию территории, двора дома сгораемого мусора, самовольно возведённых сгораемых построек, соответствие требованиям пожарной безопасности противопожарных разрывов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самовольно возведённых в габаритах лестничных клеток, лифтовых холлов и т.д. кладовых, подсобных помещений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и СНиП подъездных путей для пожарной техники к зданию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указателей соответствующих требованиям НПБ 160-97 в местах размещения противопожарных водоисточников.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и СНиП подъездных путей для пожарной техники к противопожарным водоисточникам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обработки сгораемых конструкций чердачного помещения огнезащитным составом, отсутствие обрушений огнезащитного слоя штукатурки на сгораемых конструкциях перегородок, перекрытий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наличием акта приёмки работ по обработке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сгораемых материалов в чердачном помещении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захламлённости подвальных помещений жилого дома сгораемыми материалами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лестниц предусмотренных проектным решением на лазах в чердачное помещение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плафонов соответствующих конструкции светильников на электролампах в подвальных помещениях, коридорах, лестничных клетках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электрических сетей, электрических щитов, электроустановочной арматуры в здании, отсутствие временных участков электропроводки, скруток жил электропроводов, оголённых участков проводки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Исправность и соответствие требованиям нормативной документации дымогазоотводящих и вентиляционных каналов, подтверждённые актом проверки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системы подпора воздуха и дымоудаления для зданий повышенной этажности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путей эвакуации, эвакуационных выходов в здании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Исправность и соответствие требованиям пожарной безопасности эвакуационных лестниц, люков переходов на балконах и лоджиях для зданий высотой более 5 этажей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исправность автономных дымовых пожарных извещателей в квартирах жилого дома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исправность, укомплектованность пожарных кранов внутреннего противопожарного водопровода (предусмотренных проектным решением)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укомплектованность рукавами с распылителями, в соответствии с требованиями СНиП пожарных кранов внутриквартирного первичного пожаротушения на линии хозяйственно-питьевого водопровода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помещениях квартир, местах общего пользования баллонов с горючим газом, легковоспламеняющихся и горючих жидкостей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знаков пожарной безопасности, соответствующих требованиям НПБ 160-97, на путях эвакуации, в местах размещения пожарных кранов, в местах размещения первичных средств пожаротушения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type="dxa" w:w="490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первичных средств пожаротушения в помещениях</w:t>
            </w:r>
          </w:p>
        </w:tc>
        <w:tc>
          <w:tcPr>
            <w:tcW w:type="dxa" w:w="225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+ 50 баллов</w:t>
            </w:r>
          </w:p>
        </w:tc>
        <w:tc>
          <w:tcPr>
            <w:tcW w:type="dxa" w:w="312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</w:tbl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5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 xml:space="preserve">КРИТЕРИИ ОЦЕНКИ </w:t>
      </w:r>
    </w:p>
    <w:p>
      <w:pPr>
        <w:pStyle w:val="style2"/>
        <w:numPr>
          <w:ilvl w:val="1"/>
          <w:numId w:val="1"/>
        </w:numPr>
        <w:ind w:hanging="578" w:left="578" w:right="0"/>
        <w:textAlignment w:val="baseline"/>
        <w:rPr>
          <w:rFonts w:cs="Times New Roman"/>
          <w:bCs w:val="false"/>
          <w:i w:val="false"/>
          <w:color w:val="00000A"/>
          <w:spacing w:val="2"/>
        </w:rPr>
      </w:pPr>
      <w:r>
        <w:rPr>
          <w:rFonts w:cs="Times New Roman"/>
          <w:bCs w:val="false"/>
          <w:i w:val="false"/>
          <w:color w:val="00000A"/>
          <w:spacing w:val="2"/>
        </w:rPr>
        <w:t>пожарной безопасности частного жилого дома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837"/>
        <w:gridCol w:w="4859"/>
        <w:gridCol w:w="2313"/>
        <w:gridCol w:w="3079"/>
      </w:tblGrid>
      <w:tr>
        <w:trPr>
          <w:trHeight w:hRule="atLeast" w:val="15"/>
          <w:cantSplit w:val="false"/>
        </w:trPr>
        <w:tc>
          <w:tcPr>
            <w:tcW w:type="dxa" w:w="83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485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31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30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Оценочный балл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граждан старше 14 лет, прошедших обучение мерам пожарной безопасности от общего количества проживающих в доме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10%-10</w:t>
              <w:br/>
              <w:t>30% - 20</w:t>
              <w:br/>
              <w:t>50% - 30</w:t>
              <w:br/>
              <w:t>70% - 40</w:t>
              <w:br/>
              <w:t>90% - 50 100%-100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наличием подтверждающих документов</w:t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пожаров, загораний, произошедших в доме за последние 5 лет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пожар 10</w:t>
              <w:br/>
              <w:t>баллов отнимается от набранной суммы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Пожары, загорания вошедшие в статучёт (книга учёта в отделе ГПН)</w:t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 прилегающей к зданию территории, двора дома сгораемого мусора, самовольно возведённых сгораемых построек, соответствие требованиям пожарной безопасности противопожарных разрывов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и СНиП подъездных путей для пожарной техники к зданию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сгораемых материалов в чердачном помещении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баллонов с газом в пристройках (шкафах или под кожухом, закрывающим верхнюю часть баллона и редуктор из несгораемых материалов у глухих простенков стены на расстоянии не менее 5 метров от входа в здание)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входа в дома, а также помещения зданий и сооружений, в которых применяются газовые баллоны предупреждающих знаков пожарной безопасности "Огнеопасно, баллоны с газом"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исправном состоянии оконных приямков подвальных помещений, остекления слуховых окон чердачных помещений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плафонов соответствующих конструкции светильников на электролампах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пожарной безопасности электрических сетей, электрических щитов, электроустановочной арматуры в здании, отсутствие временных участков эл. проводки, скруток жил электропроводов, оголённых участков проводки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Исправность и соответствие требованиям нормативной документации дымогазоотводящих и вентиляционных каналов, подтверждённые актом проверки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type="dxa" w:w="485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емкости (бочки) с водой или огнетушителя</w:t>
            </w:r>
          </w:p>
        </w:tc>
        <w:tc>
          <w:tcPr>
            <w:tcW w:type="dxa" w:w="231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+ 50 баллов</w:t>
            </w:r>
          </w:p>
        </w:tc>
        <w:tc>
          <w:tcPr>
            <w:tcW w:type="dxa" w:w="30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</w:tbl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>Приложение № 6</w:t>
        <w:br/>
        <w:t xml:space="preserve">к постановлению администрации </w:t>
      </w:r>
    </w:p>
    <w:p>
      <w:pPr>
        <w:pStyle w:val="style2"/>
        <w:numPr>
          <w:ilvl w:val="1"/>
          <w:numId w:val="1"/>
        </w:numPr>
        <w:jc w:val="right"/>
        <w:textAlignment w:val="baseline"/>
        <w:rPr>
          <w:rFonts w:cs="Times New Roman"/>
          <w:b w:val="false"/>
          <w:i w:val="false"/>
          <w:color w:val="00000A"/>
          <w:spacing w:val="2"/>
        </w:rPr>
      </w:pPr>
      <w:r>
        <w:rPr>
          <w:rFonts w:cs="Times New Roman"/>
          <w:b w:val="false"/>
          <w:i w:val="false"/>
          <w:color w:val="00000A"/>
          <w:spacing w:val="2"/>
        </w:rPr>
        <w:t xml:space="preserve">Новоталицкого сельского поселения </w:t>
        <w:br/>
        <w:t>от « 15 » февраля 2017 г. № 31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 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АКТ ОЦЕНКИ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осмотра объекта, представленного на участие в конкурсе "Самый пожаробезопасный жилой дом"</w:t>
      </w:r>
    </w:p>
    <w:p>
      <w:pPr>
        <w:pStyle w:val="style32"/>
        <w:shd w:fill="FFFFFF" w:val="clear"/>
        <w:spacing w:after="280" w:before="280" w:line="315" w:lineRule="atLeast"/>
        <w:contextualSpacing w:val="false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rStyle w:val="style22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Комиссия в составе: ______________________________________________ _______________________________________________________________</w:t>
        <w:br/>
        <w:t>в рамках проведения конкурса "Самый пожаробезопасный жилой дом" произвела "___" __________ 20    года осмотр объекта и прилегающей территории по адресу: ____________________________________________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t>Наименование объекта: ___________________________________________</w:t>
      </w:r>
      <w:r>
        <w:rPr>
          <w:rStyle w:val="style22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t>Наименование предприятия (Ф.И.О. домовладельца): _________________</w:t>
      </w:r>
      <w:r>
        <w:rPr>
          <w:rStyle w:val="style22"/>
          <w:spacing w:val="2"/>
          <w:sz w:val="28"/>
          <w:szCs w:val="28"/>
        </w:rPr>
        <w:t> 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831"/>
        <w:gridCol w:w="6272"/>
        <w:gridCol w:w="1674"/>
        <w:gridCol w:w="2495"/>
      </w:tblGrid>
      <w:tr>
        <w:trPr>
          <w:trHeight w:hRule="atLeast" w:val="15"/>
          <w:cantSplit w:val="false"/>
        </w:trPr>
        <w:tc>
          <w:tcPr>
            <w:tcW w:type="dxa" w:w="8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627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167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49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пп</w:t>
            </w:r>
          </w:p>
        </w:tc>
        <w:tc>
          <w:tcPr>
            <w:tcW w:type="dxa" w:w="627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type="dxa" w:w="167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(баллы)</w:t>
            </w:r>
          </w:p>
        </w:tc>
        <w:tc>
          <w:tcPr>
            <w:tcW w:type="dxa" w:w="24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83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627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167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4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627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167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4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83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627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167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49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104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32"/>
              <w:spacing w:after="280" w:before="280" w:line="315" w:lineRule="atLeast"/>
              <w:contextualSpacing w:val="false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type="dxa" w:w="167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  <w:tc>
          <w:tcPr>
            <w:tcW w:type="dxa" w:w="24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41"/>
              <w:right w:type="dxa" w:w="149"/>
            </w:tcMar>
          </w:tcPr>
          <w:p>
            <w:pPr>
              <w:pStyle w:val="style0"/>
              <w:rPr>
                <w:rFonts w:cs="Times New Roman"/>
                <w:color w:val="00000A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</w:r>
          </w:p>
        </w:tc>
      </w:tr>
    </w:tbl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Председатель комиссии: ________________ /______________________/</w:t>
        <w:br/>
        <w:t>Члены комиссии: ________________/_______________________/</w:t>
        <w:br/>
        <w:t>________________/_______________________/</w:t>
        <w:br/>
        <w:t>________________/_______________________/</w:t>
        <w:br/>
        <w:t>С актом оценки ознакомлен: ____________ /______________________ /</w:t>
        <w:br/>
        <w:t>(Фамилия и инициалы)</w:t>
        <w:br/>
      </w:r>
    </w:p>
    <w:p>
      <w:pPr>
        <w:pStyle w:val="style32"/>
        <w:shd w:fill="FFFFFF" w:val="clear"/>
        <w:spacing w:after="280" w:before="280" w:line="315" w:lineRule="atLeast"/>
        <w:contextualSpacing w:val="false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>
      <w:pPr>
        <w:pStyle w:val="style0"/>
        <w:spacing w:line="100" w:lineRule="atLeast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9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numPr>
        <w:ilvl w:val="0"/>
        <w:numId w:val="1"/>
      </w:numPr>
      <w:shd w:fill="FFFFFF" w:val="clear"/>
      <w:spacing w:line="266" w:lineRule="atLeast"/>
      <w:jc w:val="center"/>
    </w:pPr>
    <w:rPr>
      <w:b/>
      <w:bCs/>
      <w:i/>
      <w:iCs/>
      <w:color w:val="323232"/>
      <w:spacing w:val="-6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Calibri" w:eastAsia="Times New Roman" w:hAnsi="Times New Roman"/>
      <w:b/>
      <w:bCs/>
      <w:i/>
      <w:iCs/>
      <w:color w:val="323232"/>
      <w:spacing w:val="-6"/>
      <w:sz w:val="28"/>
      <w:szCs w:val="28"/>
      <w:shd w:fill="FFFFFF" w:val="clear"/>
      <w:lang w:eastAsia="ar-SA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24"/>
      <w:szCs w:val="24"/>
      <w:lang w:eastAsia="ar-SA"/>
    </w:rPr>
  </w:style>
  <w:style w:styleId="style18" w:type="character">
    <w:name w:val="Основной текст Знак"/>
    <w:basedOn w:val="style15"/>
    <w:next w:val="style18"/>
    <w:rPr>
      <w:rFonts w:ascii="Times New Roman" w:cs="Calibri" w:eastAsia="Times New Roman" w:hAnsi="Times New Roman"/>
      <w:color w:val="00000A"/>
      <w:sz w:val="20"/>
      <w:szCs w:val="20"/>
      <w:lang w:eastAsia="ar-SA"/>
    </w:rPr>
  </w:style>
  <w:style w:styleId="style19" w:type="character">
    <w:name w:val="Текст выноски Знак"/>
    <w:basedOn w:val="style15"/>
    <w:next w:val="style19"/>
    <w:rPr>
      <w:rFonts w:ascii="Tahoma" w:cs="Tahoma" w:eastAsia="Times New Roman" w:hAnsi="Tahoma"/>
      <w:color w:val="00000A"/>
      <w:sz w:val="16"/>
      <w:szCs w:val="16"/>
      <w:lang w:eastAsia="ar-SA"/>
    </w:rPr>
  </w:style>
  <w:style w:styleId="style20" w:type="character">
    <w:name w:val="WW8Num10z0"/>
    <w:next w:val="style20"/>
    <w:rPr>
      <w:rFonts w:ascii="Times New Roman" w:cs="Times New Roman" w:eastAsia="Times New Roman" w:hAnsi="Times New Roman"/>
    </w:rPr>
  </w:style>
  <w:style w:styleId="style21" w:type="character">
    <w:name w:val="Интернет-ссылка"/>
    <w:basedOn w:val="style15"/>
    <w:next w:val="style21"/>
    <w:rPr>
      <w:color w:val="0000FF"/>
      <w:u w:val="single"/>
      <w:lang w:bidi="zxx-" w:eastAsia="zxx-" w:val="zxx-"/>
    </w:rPr>
  </w:style>
  <w:style w:styleId="style22" w:type="character">
    <w:name w:val="apple-converted-space"/>
    <w:basedOn w:val="style15"/>
    <w:next w:val="style22"/>
    <w:rPr/>
  </w:style>
  <w:style w:styleId="style23" w:type="character">
    <w:name w:val="Выделение жирным"/>
    <w:basedOn w:val="style15"/>
    <w:next w:val="style23"/>
    <w:rPr>
      <w:b/>
      <w:bCs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Цитата1"/>
    <w:basedOn w:val="style0"/>
    <w:next w:val="style29"/>
    <w:pPr>
      <w:ind w:hanging="0" w:left="5640" w:right="-5"/>
      <w:jc w:val="both"/>
    </w:pPr>
    <w:rPr>
      <w:rFonts w:ascii="Arial" w:cs="Arial" w:hAnsi="Arial"/>
      <w:color w:val="00000A"/>
      <w:sz w:val="24"/>
      <w:szCs w:val="28"/>
    </w:rPr>
  </w:style>
  <w:style w:styleId="style30" w:type="paragraph">
    <w:name w:val="Основной текст с отступом"/>
    <w:basedOn w:val="style0"/>
    <w:next w:val="style30"/>
    <w:pPr>
      <w:spacing w:after="120" w:before="0"/>
      <w:ind w:hanging="0" w:left="283" w:right="0"/>
      <w:contextualSpacing w:val="false"/>
    </w:pPr>
    <w:rPr>
      <w:rFonts w:cs="Times New Roman"/>
      <w:color w:val="00000A"/>
      <w:sz w:val="24"/>
      <w:szCs w:val="24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formattext"/>
    <w:basedOn w:val="style0"/>
    <w:next w:val="style32"/>
    <w:pPr>
      <w:suppressAutoHyphens w:val="false"/>
      <w:spacing w:after="280" w:before="280"/>
      <w:contextualSpacing w:val="false"/>
    </w:pPr>
    <w:rPr>
      <w:rFonts w:cs="Times New Roman"/>
      <w:color w:val="00000A"/>
      <w:sz w:val="24"/>
      <w:szCs w:val="24"/>
      <w:lang w:eastAsia="ru-RU"/>
    </w:rPr>
  </w:style>
  <w:style w:styleId="style33" w:type="paragraph">
    <w:name w:val="ConsPlusNormal"/>
    <w:next w:val="style33"/>
    <w:pPr>
      <w:widowControl w:val="false"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zh-CN" w:val="ru-RU"/>
    </w:rPr>
  </w:style>
  <w:style w:styleId="style34" w:type="paragraph">
    <w:name w:val="Normal (Web)"/>
    <w:basedOn w:val="style0"/>
    <w:next w:val="style34"/>
    <w:pPr>
      <w:suppressAutoHyphens w:val="false"/>
      <w:spacing w:after="280" w:before="280"/>
      <w:contextualSpacing w:val="false"/>
    </w:pPr>
    <w:rPr>
      <w:rFonts w:cs="Times New Roman"/>
      <w:color w:val="00000A"/>
      <w:sz w:val="24"/>
      <w:szCs w:val="24"/>
      <w:lang w:eastAsia="zh-CN"/>
    </w:rPr>
  </w:style>
  <w:style w:styleId="style35" w:type="paragraph">
    <w:name w:val="Содержимое врезки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28718" TargetMode="External"/><Relationship Id="rId3" Type="http://schemas.openxmlformats.org/officeDocument/2006/relationships/hyperlink" Target="http://docs.cntd.ru/document/90234480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2017-02-27T05:28:00Z</dcterms:created>
  <dc:creator>Ширков</dc:creator>
  <cp:lastModifiedBy>Home-Pc</cp:lastModifiedBy>
  <cp:lastPrinted>2017-02-14T10:43:00Z</cp:lastPrinted>
  <dcterms:modified xsi:type="dcterms:W3CDTF">2017-02-27T05:28:00Z</dcterms:modified>
  <cp:revision>2</cp:revision>
</cp:coreProperties>
</file>