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4395" w:right="0"/>
        <w:contextualSpacing w:val="false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Новоталицкого сельского поселения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jc w:val="right"/>
        <w:rPr>
          <w:sz w:val="28"/>
          <w:szCs w:val="28"/>
        </w:rPr>
      </w:pPr>
      <w:r>
        <w:rPr>
          <w:sz w:val="28"/>
          <w:szCs w:val="28"/>
        </w:rPr>
        <w:t>от «07» сентября 2017г. № 240</w:t>
      </w:r>
    </w:p>
    <w:p>
      <w:pPr>
        <w:pStyle w:val="style0"/>
        <w:spacing w:after="0" w:before="0" w:line="100" w:lineRule="atLeast"/>
        <w:ind w:hanging="0" w:left="5535" w:right="0"/>
        <w:contextualSpacing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ind w:hanging="0" w:left="4395" w:right="0"/>
        <w:contextualSpacing w:val="false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Новоталицкого сельского поселения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jc w:val="right"/>
        <w:rPr>
          <w:sz w:val="28"/>
          <w:szCs w:val="28"/>
        </w:rPr>
      </w:pPr>
      <w:r>
        <w:rPr>
          <w:sz w:val="28"/>
          <w:szCs w:val="28"/>
        </w:rPr>
        <w:t>от «28» октября 2013г. № 206</w:t>
      </w:r>
    </w:p>
    <w:p>
      <w:pPr>
        <w:pStyle w:val="style0"/>
        <w:spacing w:after="0" w:before="0" w:line="100" w:lineRule="atLeast"/>
        <w:ind w:hanging="0" w:left="5535" w:right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ind w:hanging="0" w:left="5535" w:right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ind w:hanging="0" w:left="5535" w:right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ind w:hanging="1014" w:left="5505" w:right="0"/>
        <w:contextualSpacing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33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3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style33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«МОЛОДЕЖЬ НОВОТАЛИЦКОГО СЕЛЬСКОГО ПОСЕЛЕНИЯ»</w:t>
      </w:r>
    </w:p>
    <w:p>
      <w:pPr>
        <w:pStyle w:val="style33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Новоталицкого сельского поселения»</w:t>
      </w:r>
    </w:p>
    <w:p>
      <w:pPr>
        <w:pStyle w:val="style0"/>
        <w:jc w:val="center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</w:r>
    </w:p>
    <w:p>
      <w:pPr>
        <w:pStyle w:val="style0"/>
        <w:ind w:hanging="0" w:left="360" w:right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Паспорт муниципальной программы</w:t>
      </w:r>
    </w:p>
    <w:p>
      <w:pPr>
        <w:pStyle w:val="style0"/>
        <w:ind w:hanging="0" w:left="360" w:right="0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</w:r>
    </w:p>
    <w:tbl>
      <w:tblPr>
        <w:jc w:val="left"/>
        <w:tblInd w:type="dxa" w:w="-2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0"/>
          <w:left w:type="dxa" w:w="7"/>
          <w:bottom w:type="dxa" w:w="0"/>
          <w:right w:type="dxa" w:w="10"/>
        </w:tblCellMar>
      </w:tblPr>
      <w:tblGrid>
        <w:gridCol w:w="3432"/>
        <w:gridCol w:w="6247"/>
      </w:tblGrid>
      <w:tr>
        <w:trPr>
          <w:cantSplit w:val="false"/>
        </w:trPr>
        <w:tc>
          <w:tcPr>
            <w:tcW w:type="dxa" w:w="34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lang w:val="ru-RU"/>
              </w:rPr>
            </w:pPr>
            <w:r>
              <w:rPr>
                <w:lang w:val="ru-RU"/>
              </w:rPr>
              <w:t xml:space="preserve">Наименование муниципальной программы  </w:t>
            </w:r>
          </w:p>
        </w:tc>
        <w:tc>
          <w:tcPr>
            <w:tcW w:type="dxa" w:w="624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11" w:right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lang w:val="ru-RU"/>
              </w:rPr>
            </w:pPr>
            <w:r>
              <w:rPr>
                <w:lang w:val="ru-RU"/>
              </w:rPr>
              <w:t>Срок реализации муниципальной программы</w:t>
            </w:r>
          </w:p>
        </w:tc>
        <w:tc>
          <w:tcPr>
            <w:tcW w:type="dxa" w:w="624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11" w:right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 годы</w:t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lang w:val="ru-RU"/>
              </w:rPr>
            </w:pPr>
            <w:r>
              <w:rPr>
                <w:lang w:val="ru-RU"/>
              </w:rPr>
              <w:t>Перечень подпрограмм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31"/>
              <w:ind w:hanging="0" w:left="111" w:right="8"/>
              <w:rPr/>
            </w:pPr>
            <w:r>
              <w:rPr>
                <w:lang w:val="ru-RU"/>
              </w:rPr>
              <w:t>1.</w:t>
            </w:r>
            <w:r>
              <w:rPr/>
              <w:t>Работа с детьми и молодёжью по месту жительства</w:t>
            </w:r>
          </w:p>
          <w:p>
            <w:pPr>
              <w:pStyle w:val="style31"/>
              <w:ind w:hanging="0" w:left="111" w:right="8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color w:val="00000A"/>
              </w:rPr>
            </w:pPr>
            <w:r>
              <w:rPr>
                <w:color w:val="00000A"/>
              </w:rPr>
              <w:t>Администратор муниципальной программы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31"/>
              <w:ind w:hanging="0" w:left="111" w:right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Новоталицкого сельского поселения </w:t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color w:val="00000A"/>
                <w:lang w:val="ru-RU"/>
              </w:rPr>
            </w:pPr>
            <w:r>
              <w:rPr>
                <w:color w:val="00000A"/>
              </w:rPr>
              <w:t>Ответственны</w:t>
            </w:r>
            <w:r>
              <w:rPr>
                <w:color w:val="00000A"/>
                <w:lang w:val="ru-RU"/>
              </w:rPr>
              <w:t>й</w:t>
            </w:r>
            <w:r>
              <w:rPr>
                <w:color w:val="00000A"/>
              </w:rPr>
              <w:t xml:space="preserve"> исполнител</w:t>
            </w:r>
            <w:r>
              <w:rPr>
                <w:color w:val="00000A"/>
                <w:lang w:val="ru-RU"/>
              </w:rPr>
              <w:t>ь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31"/>
              <w:ind w:hanging="0" w:left="0" w:right="-10"/>
              <w:rPr>
                <w:lang w:val="ru-RU"/>
              </w:rPr>
            </w:pPr>
            <w:r>
              <w:rPr>
                <w:lang w:val="ru-RU"/>
              </w:rPr>
              <w:t xml:space="preserve">1.Администрация Новоталицкого сельского поселения </w:t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1.Администрация Новоталицкого сельского поселения</w:t>
            </w:r>
          </w:p>
        </w:tc>
      </w:tr>
      <w:tr>
        <w:trPr>
          <w:trHeight w:hRule="atLeast" w:val="2381"/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color w:val="00000A"/>
              </w:rPr>
            </w:pPr>
            <w:r>
              <w:rPr>
                <w:color w:val="00000A"/>
              </w:rPr>
              <w:t>Цел</w:t>
            </w:r>
            <w:r>
              <w:rPr>
                <w:color w:val="00000A"/>
                <w:lang w:val="ru-RU"/>
              </w:rPr>
              <w:t>ь (цели)</w:t>
            </w:r>
            <w:r>
              <w:rPr>
                <w:color w:val="00000A"/>
              </w:rPr>
              <w:t xml:space="preserve"> муниципальной программы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Решение вопросов профессионального развития и деловой активности молодежи Новоталицкого сельского поселения;</w:t>
            </w:r>
          </w:p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гражданского становления, духовно- нравственного и патриотического воспитания молодежи Новоталицкого сельского поселения;</w:t>
            </w:r>
          </w:p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3.Интеллектуальное и физическое развитие молодежи, развитие художественного и научно-технического творчества, массовых видов спорта и туризма</w:t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Целевые индикаторы (показатели) муниципальной программы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1Количество мероприятий для детей и молодежи</w:t>
            </w:r>
          </w:p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2.Количество молодежных и детских общественных</w:t>
            </w:r>
          </w:p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/>
            </w:pPr>
            <w:r>
              <w:rPr/>
              <w:t>Объем ресурсного обеспечения муниципальной программы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Всего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197600,00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197600,00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2014 год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79000,00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79000,00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2015 год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68400,00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68400,00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2016 год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12400,00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12400,00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2017 год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2018 год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86"/>
              <w:gridCol w:w="2321"/>
              <w:gridCol w:w="1734"/>
            </w:tblGrid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2019 год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86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21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734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4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auto" w:val="clear"/>
            <w:tcMar>
              <w:left w:type="dxa" w:w="7"/>
            </w:tcMar>
          </w:tcPr>
          <w:p>
            <w:pPr>
              <w:pStyle w:val="style31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муниципальной программы.</w:t>
            </w:r>
          </w:p>
        </w:tc>
        <w:tc>
          <w:tcPr>
            <w:tcW w:type="dxa" w:w="62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7"/>
            </w:tcMar>
            <w:vAlign w:val="center"/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реализации программы планируется: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условий для снижения безнадзорности и правонарушений среди детей и подростков;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2.Рост деловой активности и предприимчивости молодежи;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3.Улучшение здоровья молодого поколения, снижение смертности, наркомании и алкоголизма в молодежной среде;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4.Повышение духовно-нравственного, интеллектуального и творческого потенциала молодого поколения</w:t>
            </w:r>
          </w:p>
        </w:tc>
      </w:tr>
    </w:tbl>
    <w:p>
      <w:pPr>
        <w:pStyle w:val="style0"/>
        <w:jc w:val="both"/>
        <w:rPr>
          <w:b/>
          <w:bCs/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</w:r>
    </w:p>
    <w:p>
      <w:pPr>
        <w:pStyle w:val="style0"/>
        <w:tabs>
          <w:tab w:leader="none" w:pos="360" w:val="left"/>
          <w:tab w:leader="none" w:pos="709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текущей ситуации в сфере реализации</w:t>
      </w:r>
    </w:p>
    <w:p>
      <w:pPr>
        <w:pStyle w:val="style0"/>
        <w:tabs>
          <w:tab w:leader="none" w:pos="36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hanging="0" w:left="360" w:right="0"/>
        <w:contextualSpacing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>
      <w:pPr>
        <w:pStyle w:val="style0"/>
        <w:tabs>
          <w:tab w:leader="none" w:pos="36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экономического, правового, организационного, информационного, научного и иного характера, направленных на улучшение условий и повышение качества жизни молодежи Новоталицкого сельского поселения, определяется особенностями социально-экономической ситуации, сложившейся в Ивановском районе, а также необходимостью ее изменения в ближайшей перспективе (2014 - 2019 годы). В обеспечении этих изменений роль планомерной молодежной политики, проводимой органами местного самоуправления в отношении молодых граждан от 14 до 30 лет, молодых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семей и молодежных общественных объединений поселения, является очень важной и не может быть заменена выполнением отдельных мероприятий и проектов. Деятельность органов местного самоуправления по реализации молодежной политики осуществляется в следующих социально- экономических условиях: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Продолжается социальное расслоение в молодежной среде, утеряны равные шансы на получение образовательных, медицинских, социально- бытовых и других социальных услуг, достойной работы. 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Нарастают негативные тенденции в развитии демографической ситуации. 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3. Ухудшается состояние здоровья молодежи.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4. Сохраняется высокий уровень преступности в молодежной среде.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Падает социальная ценность труда среди молодых людей; происходит перераспределение молодежи из сферы материального производства и производственного предпринимательства в сферу обслуживания; сохраняется значительный процент безработицы среди молодежи. 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6. Происходит размывание ценностных ориентаций, кризис духовного мира юношества; усиление недоверия к институтам власти в целом.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проблемой системы работы с детьми и молодёжью в Новоталицком сельском поселении является её неструктурированность. Деятельность, направленная на выявление и развитие способностей интеллектуально, творчески и спортивно одарённой молодёжи разрознена, организационно не выстроена, осуществляется параллельно несколькими субъектами. Отсутствуют учреждения, выполняющие координационную и аналитическую функции. Необходимо организовать взаимодействие образовательных, спортивных учреждений, учреждений в сфере культуры и искусства, общественных организаций и объединений, осуществляющих работу с молодёжью Новоталицкого сельского поселения. Процесс подготовки молодежи к профессиональной деятельности и её социальной адаптации в сферах культуры и искусства, физической культуры и спорта не отлажен. Высок дефицит квалифицированных специалистов в указанных сферах, которые могут развивать творческие способности молодёжи Новоталицкого сельского поселения. Кроме этого, большой проблемой учреждений, работающих с молодёжью, является низкая обеспеченность техническими ресурсами и отсутствие финансовой возможности принять участие во всероссийских и международных конкурсах и фестивалях. Механизмы выявления и поддержки молодёжи, лежащие в основе формирования системы работы с одарённой молодёжью, на данный момент не отработаны из-за отсутствия специальной подготовки педагогических кадров. 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направлены на устранение имеющихся дефицитов действующей системы работы с молодёжью Новоталицкого сельского поселения, в первую очередь на материальную поддержку учреждений, работающих с молодёжью, чтобы дети имели возможность проверить свои способности в конкурсных мероприятиях всероссийского и международного уровней. А также на повышение уровня квалификации специалистов, осуществляющих работу с молодёжью Новоталицкого сельского поселения. Дальнейшая реализация мероприятий уже новой Программы позволит создать условия для выявления, сопровождения и поддержки интеллектуально, художественно и спортивно одаренной молодёжи в Новоталицком сельском поселении, независимо от места их проживания. В рамках Программы планируется увеличение количества мероприятий и соответственно, количества участников мероприятий на 4% по сравнению с 2013 годом. Программа рассчитана на всех молодых жителей Новоталицкого сельского поселения, на участников творческих, общественных, спортивных объединений сельского поселения, а также на образовательные учреждения, деятельность которых направлена на поддержку и развитие талантов и способностей молодёжи. Программа направлена на создание условий самореализации молодежи во всех сферах жизнедеятельности общества путем проведения эффективной молодежной политики в Новоталицком сельском поселении на основе разработки и создания соответствующей нормативно-правовой базы, гибкого финансово-кредитного механизма, целостной системы информационного и кадрового обеспечения, единой стратегической и научно-исследовательской базы. 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tabs>
          <w:tab w:leader="none" w:pos="360" w:val="left"/>
          <w:tab w:leader="none" w:pos="709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(показатели) характеризующие текущую ситуацию реализации муниципальной программы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8"/>
        <w:gridCol w:w="2986"/>
        <w:gridCol w:w="1136"/>
        <w:gridCol w:w="1585"/>
        <w:gridCol w:w="1586"/>
        <w:gridCol w:w="1587"/>
      </w:tblGrid>
      <w:tr>
        <w:trPr>
          <w:cantSplit w:val="false"/>
        </w:trPr>
        <w:tc>
          <w:tcPr>
            <w:tcW w:type="dxa" w:w="6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29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type="dxa" w:w="11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type="dxa" w:w="15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>
        <w:trPr>
          <w:cantSplit w:val="false"/>
        </w:trPr>
        <w:tc>
          <w:tcPr>
            <w:tcW w:type="dxa" w:w="6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9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для детей и молодежи</w:t>
            </w:r>
          </w:p>
        </w:tc>
        <w:tc>
          <w:tcPr>
            <w:tcW w:type="dxa" w:w="11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type="dxa" w:w="15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6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9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молодежных и детских общественных</w:t>
            </w:r>
          </w:p>
        </w:tc>
        <w:tc>
          <w:tcPr>
            <w:tcW w:type="dxa" w:w="11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type="dxa" w:w="15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Сведения о целевых индикаторах (показателях) 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7"/>
        <w:gridCol w:w="2075"/>
        <w:gridCol w:w="774"/>
        <w:gridCol w:w="6314"/>
      </w:tblGrid>
      <w:tr>
        <w:trPr>
          <w:cantSplit w:val="false"/>
        </w:trPr>
        <w:tc>
          <w:tcPr>
            <w:tcW w:type="dxa" w:w="60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207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type="dxa" w:w="77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type="dxa" w:w="6314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индикаторов (показателей)</w:t>
            </w:r>
          </w:p>
        </w:tc>
      </w:tr>
      <w:tr>
        <w:trPr>
          <w:cantSplit w:val="false"/>
        </w:trPr>
        <w:tc>
          <w:tcPr>
            <w:tcW w:type="dxa" w:w="60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07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7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type="dxa" w:w="10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</w:tr>
      <w:tr>
        <w:trPr>
          <w:trHeight w:hRule="atLeast" w:val="733"/>
          <w:cantSplit w:val="false"/>
        </w:trPr>
        <w:tc>
          <w:tcPr>
            <w:tcW w:type="dxa" w:w="6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0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для детей и молодежи</w:t>
            </w:r>
          </w:p>
        </w:tc>
        <w:tc>
          <w:tcPr>
            <w:tcW w:type="dxa" w:w="7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3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62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63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type="dxa" w:w="10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6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0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молодежных и детских общественных</w:t>
            </w:r>
          </w:p>
        </w:tc>
        <w:tc>
          <w:tcPr>
            <w:tcW w:type="dxa" w:w="7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40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1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10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35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Источником информации о целевых индикаторах (показателях) муниципальной программы является:</w:t>
      </w:r>
    </w:p>
    <w:p>
      <w:pPr>
        <w:pStyle w:val="style35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     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администрация Новоталицкого сельского поселения. </w:t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5387" w:right="0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>
      <w:pPr>
        <w:pStyle w:val="style0"/>
        <w:spacing w:after="0" w:before="0" w:line="100" w:lineRule="atLeast"/>
        <w:ind w:hanging="0" w:left="5387" w:right="0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 муниципальной программе</w:t>
      </w:r>
    </w:p>
    <w:p>
      <w:pPr>
        <w:pStyle w:val="style0"/>
        <w:spacing w:after="0" w:before="0" w:line="100" w:lineRule="atLeast"/>
        <w:ind w:hanging="0" w:left="5387" w:right="0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color w:val="000000"/>
          <w:sz w:val="24"/>
          <w:szCs w:val="24"/>
          <w:shd w:fill="FFFFFF" w:val="clear"/>
          <w:lang w:eastAsia="en-US"/>
        </w:rPr>
        <w:t>М</w:t>
      </w:r>
      <w:r>
        <w:rPr>
          <w:sz w:val="24"/>
          <w:szCs w:val="24"/>
        </w:rPr>
        <w:t>олодежь Новоталицкого сельского поселения</w:t>
      </w:r>
      <w:r>
        <w:rPr>
          <w:bCs/>
          <w:sz w:val="24"/>
          <w:szCs w:val="24"/>
        </w:rPr>
        <w:t>»</w:t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«Работа с детьми и молодежью по месту жительства»</w:t>
      </w:r>
    </w:p>
    <w:p>
      <w:pPr>
        <w:pStyle w:val="style0"/>
        <w:spacing w:after="0" w:before="0" w:line="100" w:lineRule="atLeast"/>
        <w:ind w:hanging="0" w:left="30" w:right="0"/>
        <w:contextualSpacing w:val="false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0"/>
        <w:tabs>
          <w:tab w:leader="none" w:pos="709" w:val="left"/>
        </w:tabs>
        <w:suppressAutoHyphens w:val="true"/>
        <w:spacing w:after="0" w:before="0" w:line="100" w:lineRule="atLeast"/>
        <w:ind w:hanging="0" w:left="180" w:right="0"/>
        <w:contextualSpacing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67"/>
        <w:gridCol w:w="5979"/>
      </w:tblGrid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Наименование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ind w:hanging="0" w:left="0" w:right="8"/>
              <w:jc w:val="center"/>
              <w:rPr/>
            </w:pPr>
            <w:r>
              <w:rPr/>
              <w:t>Работа с детьми и молодежью по месту жительства</w:t>
            </w:r>
          </w:p>
          <w:p>
            <w:pPr>
              <w:pStyle w:val="style31"/>
              <w:spacing w:line="100" w:lineRule="atLeast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Срок реализации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jc w:val="center"/>
              <w:rPr>
                <w:lang w:val="ru-RU"/>
              </w:rPr>
            </w:pPr>
            <w:r>
              <w:rPr/>
              <w:t>2014-201</w:t>
            </w:r>
            <w:r>
              <w:rPr>
                <w:lang w:val="ru-RU"/>
              </w:rPr>
              <w:t>9</w:t>
            </w:r>
            <w:r>
              <w:rPr/>
              <w:t xml:space="preserve"> </w:t>
            </w:r>
            <w:r>
              <w:rPr>
                <w:lang w:val="ru-RU"/>
              </w:rPr>
              <w:t>годы</w:t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Наименование основных мероприятий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проведение мероприятий по работе с детьми и молодёжью;</w:t>
            </w:r>
          </w:p>
          <w:p>
            <w:pPr>
              <w:pStyle w:val="style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работы молодёжных и детских общественных объединений;</w:t>
            </w:r>
          </w:p>
          <w:p>
            <w:pPr>
              <w:pStyle w:val="style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и проведение мероприятий для детей и молодёжи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/>
            </w:pPr>
            <w:r>
              <w:rPr>
                <w:lang w:val="ru-RU"/>
              </w:rPr>
              <w:t>1.</w:t>
            </w:r>
            <w:r>
              <w:rPr/>
              <w:t>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Исполнители основных мероприятий (мероприятий подпрограммы)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/>
              <w:t>Администрация Новоталицкого сельского поселения</w:t>
            </w:r>
            <w:r>
              <w:rPr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Цель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 w:line="100" w:lineRule="atLeast"/>
              <w:contextualSpacing w:val="fals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>рганизация работы с молодежью по месту жительства граждан для решения вопроса детской и подростковой безнадзорности, проведения целенаправленной работы по физическому, культурному и духовному развитию детей, подростков и молодежи</w:t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 xml:space="preserve">Задача подпрограммы 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rPr>
                <w:lang w:val="ru-RU"/>
              </w:rPr>
            </w:pPr>
            <w:r>
              <w:rPr>
                <w:lang w:val="ru-RU"/>
              </w:rPr>
              <w:t>1. Воспитание потребности молодежи к освоению ценностей общечеловеческой и национальной духовной культуры, участию в культурной жизни поселения</w:t>
            </w:r>
          </w:p>
        </w:tc>
      </w:tr>
      <w:tr>
        <w:trPr>
          <w:trHeight w:hRule="atLeast" w:val="5176"/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Объемы ресурсного обеспечения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65"/>
              <w:gridCol w:w="2425"/>
              <w:gridCol w:w="1812"/>
            </w:tblGrid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Всего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197600,00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197600,00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65"/>
              <w:gridCol w:w="2425"/>
              <w:gridCol w:w="1812"/>
            </w:tblGrid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2014 год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79000,00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79000,00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65"/>
              <w:gridCol w:w="2425"/>
              <w:gridCol w:w="1812"/>
            </w:tblGrid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2015 год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68400,00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68400,00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65"/>
              <w:gridCol w:w="2425"/>
              <w:gridCol w:w="1812"/>
            </w:tblGrid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2016 год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12400,00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12400,00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65"/>
              <w:gridCol w:w="2425"/>
              <w:gridCol w:w="1812"/>
            </w:tblGrid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2017 год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65"/>
              <w:gridCol w:w="2425"/>
              <w:gridCol w:w="1812"/>
            </w:tblGrid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2018 год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2019 год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6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25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12600,00</w:t>
                  </w:r>
                </w:p>
              </w:tc>
              <w:tc>
                <w:tcPr>
                  <w:tcW w:type="dxa" w:w="1812"/>
                  <w:tcBorders>
                    <w:top w:val="nil"/>
                    <w:left w:val="nil"/>
                    <w:bottom w:val="nil"/>
                    <w:right w:val="nil"/>
                  </w:tcBorders>
                  <w:shd w:fill="FFFFFF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widowControl w:val="false"/>
              <w:numPr>
                <w:ilvl w:val="0"/>
                <w:numId w:val="1"/>
              </w:numPr>
              <w:suppressAutoHyphens w:val="true"/>
              <w:spacing w:after="0" w:before="0" w:line="100" w:lineRule="atLeast"/>
              <w:ind w:hanging="173" w:left="111" w:right="0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7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type="dxa" w:w="59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tabs>
                <w:tab w:leader="none" w:pos="33" w:val="left"/>
              </w:tabs>
              <w:suppressAutoHyphens w:val="true"/>
              <w:spacing w:after="0" w:before="0" w:line="100" w:lineRule="atLeast"/>
              <w:ind w:hanging="432" w:left="0" w:right="0"/>
              <w:contextualSpacing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период реализации подпрограммы планируется: 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Создание условий для организации работы с детьми и молодежью по месту жительства;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2.Активное привлечение различных категорий молодежи к эффективной организации свободного времени</w:t>
            </w:r>
          </w:p>
        </w:tc>
      </w:tr>
    </w:tbl>
    <w:p>
      <w:pPr>
        <w:pStyle w:val="style24"/>
        <w:spacing w:after="0" w:before="0"/>
        <w:contextualSpacing w:val="false"/>
        <w:jc w:val="center"/>
        <w:rPr>
          <w:rFonts w:cs="Times New Roman"/>
          <w:b/>
          <w:sz w:val="28"/>
          <w:szCs w:val="28"/>
        </w:rPr>
      </w:pPr>
      <w:bookmarkStart w:id="2" w:name="8870789"/>
      <w:bookmarkStart w:id="3" w:name="8870789"/>
      <w:bookmarkEnd w:id="3"/>
      <w:r>
        <w:rPr>
          <w:rFonts w:cs="Times New Roman"/>
          <w:b/>
          <w:sz w:val="28"/>
          <w:szCs w:val="28"/>
        </w:rPr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Характеристика основных мероприятий подпрограммы</w:t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style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Основные мероприятия подпрограммы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 Организация и проведение мероприятий для детей и молодёжи Новоталицкого сельского поселения;</w:t>
      </w:r>
    </w:p>
    <w:p>
      <w:pPr>
        <w:pStyle w:val="style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 Организация работы молодёжных и детских общественных объединений.</w:t>
      </w:r>
    </w:p>
    <w:p>
      <w:pPr>
        <w:pStyle w:val="style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целях выполнения намеченной задачи подпрограммы необходима реализация следующих мероприятий:</w:t>
      </w:r>
    </w:p>
    <w:p>
      <w:pPr>
        <w:pStyle w:val="style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1) организация и проведение мероприятий для детей и молодёжи Новоталицкого сельского поселения;</w:t>
      </w:r>
    </w:p>
    <w:p>
      <w:pPr>
        <w:pStyle w:val="style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2) организация работы молодёжных и детских общественных объединений.</w:t>
      </w:r>
    </w:p>
    <w:p>
      <w:pPr>
        <w:pStyle w:val="style3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</w:t>
      </w:r>
      <w:r>
        <w:rPr>
          <w:rFonts w:cs="Times New Roman"/>
          <w:b/>
          <w:bCs/>
          <w:sz w:val="28"/>
          <w:szCs w:val="28"/>
        </w:rPr>
        <w:t>Целевые индикаторы (показатели) подпрограммы</w:t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Перечень целевых индикаторов (показателей) подпрограммы</w:t>
      </w:r>
    </w:p>
    <w:tbl>
      <w:tblPr>
        <w:jc w:val="left"/>
        <w:tblInd w:type="dxa" w:w="-3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6"/>
        <w:gridCol w:w="2542"/>
        <w:gridCol w:w="658"/>
        <w:gridCol w:w="5862"/>
      </w:tblGrid>
      <w:tr>
        <w:trPr>
          <w:trHeight w:hRule="atLeast" w:val="137"/>
          <w:cantSplit w:val="false"/>
        </w:trPr>
        <w:tc>
          <w:tcPr>
            <w:tcW w:type="dxa" w:w="57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№</w:t>
            </w:r>
          </w:p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п/п</w:t>
            </w:r>
          </w:p>
        </w:tc>
        <w:tc>
          <w:tcPr>
            <w:tcW w:type="dxa" w:w="254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Наименование целевого индикатора (показателя)</w:t>
            </w:r>
          </w:p>
        </w:tc>
        <w:tc>
          <w:tcPr>
            <w:tcW w:type="dxa" w:w="65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Ед.</w:t>
            </w:r>
          </w:p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изм.</w:t>
            </w:r>
          </w:p>
        </w:tc>
        <w:tc>
          <w:tcPr>
            <w:tcW w:type="dxa" w:w="5862"/>
            <w:gridSpan w:val="6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Значения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целевых индикаторов (показателей)</w:t>
            </w:r>
          </w:p>
        </w:tc>
      </w:tr>
      <w:tr>
        <w:trPr>
          <w:trHeight w:hRule="atLeast" w:val="138"/>
          <w:cantSplit w:val="false"/>
        </w:trPr>
        <w:tc>
          <w:tcPr>
            <w:tcW w:type="dxa" w:w="57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254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65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899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2014 г.</w:t>
            </w:r>
          </w:p>
        </w:tc>
        <w:tc>
          <w:tcPr>
            <w:tcW w:type="dxa" w:w="99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2015 г.</w:t>
            </w:r>
          </w:p>
        </w:tc>
        <w:tc>
          <w:tcPr>
            <w:tcW w:type="dxa" w:w="99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2016 г.</w:t>
            </w:r>
          </w:p>
        </w:tc>
        <w:tc>
          <w:tcPr>
            <w:tcW w:type="dxa" w:w="993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2017 г.</w:t>
            </w:r>
          </w:p>
        </w:tc>
        <w:tc>
          <w:tcPr>
            <w:tcW w:type="dxa" w:w="99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2018 г.</w:t>
            </w:r>
          </w:p>
        </w:tc>
        <w:tc>
          <w:tcPr>
            <w:tcW w:type="dxa" w:w="994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2019 г.</w:t>
            </w:r>
          </w:p>
        </w:tc>
      </w:tr>
      <w:tr>
        <w:trPr>
          <w:cantSplit w:val="false"/>
        </w:trPr>
        <w:tc>
          <w:tcPr>
            <w:tcW w:type="dxa" w:w="5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1</w:t>
            </w:r>
          </w:p>
        </w:tc>
        <w:tc>
          <w:tcPr>
            <w:tcW w:type="dxa" w:w="25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>рганизация и проведение мероприятий для детей и молодёжи Новоталицкого сельского поселения»</w:t>
            </w:r>
          </w:p>
        </w:tc>
        <w:tc>
          <w:tcPr>
            <w:tcW w:type="dxa" w:w="6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8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</w:tr>
      <w:tr>
        <w:trPr>
          <w:cantSplit w:val="false"/>
        </w:trPr>
        <w:tc>
          <w:tcPr>
            <w:tcW w:type="dxa" w:w="57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1.1</w:t>
            </w:r>
          </w:p>
        </w:tc>
        <w:tc>
          <w:tcPr>
            <w:tcW w:type="dxa" w:w="25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рганизация и проведение мероприятий для детей и молодёжи Новоталицкого сельского поселения»</w:t>
            </w:r>
          </w:p>
        </w:tc>
        <w:tc>
          <w:tcPr>
            <w:tcW w:type="dxa" w:w="6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8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</w:tr>
      <w:tr>
        <w:trPr>
          <w:cantSplit w:val="false"/>
        </w:trPr>
        <w:tc>
          <w:tcPr>
            <w:tcW w:type="dxa" w:w="57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25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для детей и молодежи</w:t>
            </w:r>
          </w:p>
        </w:tc>
        <w:tc>
          <w:tcPr>
            <w:tcW w:type="dxa" w:w="6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ед.</w:t>
            </w:r>
          </w:p>
        </w:tc>
        <w:tc>
          <w:tcPr>
            <w:tcW w:type="dxa" w:w="8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3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62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63</w:t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</w:t>
            </w:r>
          </w:p>
        </w:tc>
        <w:tc>
          <w:tcPr>
            <w:tcW w:type="dxa" w:w="9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</w:t>
            </w:r>
          </w:p>
        </w:tc>
        <w:tc>
          <w:tcPr>
            <w:tcW w:type="dxa" w:w="25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работы молодёжных и детских общественных объединений»</w:t>
            </w:r>
          </w:p>
        </w:tc>
        <w:tc>
          <w:tcPr>
            <w:tcW w:type="dxa" w:w="6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8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</w:tr>
      <w:tr>
        <w:trPr>
          <w:trHeight w:hRule="atLeast" w:val="1366"/>
          <w:cantSplit w:val="false"/>
        </w:trPr>
        <w:tc>
          <w:tcPr>
            <w:tcW w:type="dxa" w:w="57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2.1</w:t>
            </w:r>
          </w:p>
        </w:tc>
        <w:tc>
          <w:tcPr>
            <w:tcW w:type="dxa" w:w="25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работы молодёжных и детских общественных объединений»</w:t>
            </w:r>
          </w:p>
        </w:tc>
        <w:tc>
          <w:tcPr>
            <w:tcW w:type="dxa" w:w="6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8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9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</w:tr>
      <w:tr>
        <w:trPr>
          <w:cantSplit w:val="false"/>
        </w:trPr>
        <w:tc>
          <w:tcPr>
            <w:tcW w:type="dxa" w:w="57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</w:r>
          </w:p>
        </w:tc>
        <w:tc>
          <w:tcPr>
            <w:tcW w:type="dxa" w:w="25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молодежных и детских общественных объединений</w:t>
            </w:r>
          </w:p>
        </w:tc>
        <w:tc>
          <w:tcPr>
            <w:tcW w:type="dxa" w:w="6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ед.</w:t>
            </w:r>
          </w:p>
        </w:tc>
        <w:tc>
          <w:tcPr>
            <w:tcW w:type="dxa" w:w="8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type="dxa" w:w="9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/>
              <w:contextualSpacing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</w:tr>
      <w:tr>
        <w:trPr>
          <w:cantSplit w:val="false"/>
        </w:trPr>
        <w:tc>
          <w:tcPr>
            <w:tcW w:type="dxa" w:w="9638"/>
            <w:gridSpan w:val="9"/>
            <w:tcBorders>
              <w:top w:color="00000A" w:space="0" w:sz="4" w:val="single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4"/>
              <w:spacing w:after="0" w:before="0"/>
              <w:contextualSpacing w:val="false"/>
              <w:jc w:val="both"/>
              <w:rPr>
                <w:rFonts w:cs="Times New Roman" w:eastAsia="Andale Sans UI"/>
                <w:bCs/>
                <w:sz w:val="28"/>
                <w:szCs w:val="28"/>
              </w:rPr>
            </w:pPr>
            <w:r>
              <w:rPr>
                <w:rFonts w:cs="Times New Roman" w:eastAsia="Andale Sans UI"/>
                <w:bCs/>
                <w:sz w:val="28"/>
                <w:szCs w:val="28"/>
              </w:rPr>
            </w:r>
          </w:p>
          <w:p>
            <w:pPr>
              <w:pStyle w:val="style24"/>
              <w:spacing w:after="0" w:before="0"/>
              <w:contextualSpacing w:val="false"/>
              <w:jc w:val="both"/>
              <w:rPr>
                <w:rFonts w:cs="Times New Roman" w:eastAsia="Andale Sans UI"/>
                <w:bCs/>
                <w:sz w:val="28"/>
                <w:szCs w:val="28"/>
              </w:rPr>
            </w:pPr>
            <w:r>
              <w:rPr>
                <w:rFonts w:cs="Times New Roman" w:eastAsia="Andale Sans UI"/>
                <w:bCs/>
                <w:sz w:val="28"/>
                <w:szCs w:val="28"/>
              </w:rPr>
              <w:t>Примечание: показатели основных мероприятий полностью дублируют входящие в них показатели мероприятий, поэтому показатели в таблице отражаются только на уроне мероприятий.</w:t>
            </w:r>
          </w:p>
        </w:tc>
      </w:tr>
    </w:tbl>
    <w:p>
      <w:pPr>
        <w:sectPr>
          <w:type w:val="nextPage"/>
          <w:pgSz w:h="16838" w:w="11906"/>
          <w:pgMar w:bottom="1134" w:footer="0" w:gutter="0" w:header="0" w:left="1559" w:right="1276" w:top="1134"/>
          <w:pgNumType w:fmt="decimal"/>
          <w:formProt w:val="false"/>
          <w:textDirection w:val="lrTb"/>
          <w:docGrid w:charSpace="0" w:linePitch="360" w:type="default"/>
        </w:sectPr>
        <w:pStyle w:val="style24"/>
        <w:spacing w:after="0" w:before="0"/>
        <w:contextualSpacing w:val="fals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4. </w:t>
      </w:r>
      <w:r>
        <w:rPr>
          <w:rFonts w:cs="Times New Roman"/>
          <w:b/>
          <w:color w:val="000000"/>
          <w:sz w:val="28"/>
          <w:szCs w:val="28"/>
        </w:rPr>
        <w:t>Ресурсное обеспечение подпрограммы</w:t>
      </w:r>
    </w:p>
    <w:p>
      <w:pPr>
        <w:pStyle w:val="style24"/>
        <w:spacing w:after="0" w:before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yle0"/>
        <w:tabs>
          <w:tab w:leader="none" w:pos="864" w:val="left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Ресурсное обеспечение подпрограммы, руб.</w:t>
      </w:r>
    </w:p>
    <w:tbl>
      <w:tblPr>
        <w:jc w:val="left"/>
        <w:tblInd w:type="dxa" w:w="62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0"/>
          <w:left w:type="dxa" w:w="51"/>
          <w:bottom w:type="dxa" w:w="0"/>
          <w:right w:type="dxa" w:w="54"/>
        </w:tblCellMar>
      </w:tblPr>
      <w:tblGrid>
        <w:gridCol w:w="566"/>
        <w:gridCol w:w="2693"/>
        <w:gridCol w:w="1845"/>
        <w:gridCol w:w="1133"/>
        <w:gridCol w:w="1274"/>
        <w:gridCol w:w="1132"/>
        <w:gridCol w:w="1130"/>
        <w:gridCol w:w="1130"/>
        <w:gridCol w:w="1130"/>
        <w:gridCol w:w="1130"/>
        <w:gridCol w:w="1138"/>
      </w:tblGrid>
      <w:tr>
        <w:trPr>
          <w:trHeight w:hRule="atLeast" w:val="1"/>
          <w:cantSplit w:val="false"/>
        </w:trPr>
        <w:tc>
          <w:tcPr>
            <w:tcW w:type="dxa" w:w="5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(мероприятий)/ Источник ресурсного обеспечения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(годы)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672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всего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type="dxa" w:w="11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672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type="dxa" w:w="11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>рганизация и проведение мероприятий для детей и молодёжи Новоталицкого сельского поселения»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12600,00</w:t>
            </w:r>
          </w:p>
        </w:tc>
      </w:tr>
      <w:tr>
        <w:trPr>
          <w:trHeight w:hRule="atLeast" w:val="155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12600,00</w:t>
            </w:r>
          </w:p>
        </w:tc>
      </w:tr>
      <w:tr>
        <w:trPr>
          <w:trHeight w:hRule="atLeast" w:val="509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рганизация и проведение мероприятий для детей и молодёжи Новоталицкого сельского поселения»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12600,00</w:t>
            </w:r>
          </w:p>
        </w:tc>
      </w:tr>
      <w:tr>
        <w:trPr>
          <w:trHeight w:hRule="atLeast" w:val="297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«Организация работы молодёжных и детских общественных объединений»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Мероприятие</w:t>
            </w:r>
            <w:r>
              <w:rPr>
                <w:sz w:val="24"/>
                <w:szCs w:val="24"/>
              </w:rPr>
              <w:t xml:space="preserve"> «Организация работы молодёжных и детских общественных объединений»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6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type="dxa" w:w="11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widowControl w:val="false"/>
        <w:suppressAutoHyphens w:val="true"/>
        <w:spacing w:after="200" w:before="0" w:line="276" w:lineRule="auto"/>
        <w:contextualSpacing w:val="false"/>
        <w:textAlignment w:val="baseline"/>
        <w:rPr/>
      </w:pPr>
      <w:r>
        <w:rPr/>
      </w:r>
    </w:p>
    <w:sectPr>
      <w:type w:val="nextPage"/>
      <w:pgSz w:h="11906" w:orient="landscape" w:w="16838"/>
      <w:pgMar w:bottom="1276" w:footer="0" w:gutter="0" w:header="0" w:left="1134" w:right="1134" w:top="155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  <w:rPr/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  <w:rPr/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  <w:rPr/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  <w:rPr/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  <w:rPr/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  <w:rPr/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  <w:rPr/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  <w:rPr/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200" w:before="0" w:line="276" w:lineRule="auto"/>
      <w:contextualSpacing w:val="false"/>
      <w:textAlignment w:val="baseline"/>
    </w:pPr>
    <w:rPr>
      <w:rFonts w:ascii="Times New Roman" w:cs="Times New Roman" w:eastAsia="Times New Roman" w:hAnsi="Times New Roman"/>
      <w:color w:val="auto"/>
      <w:sz w:val="24"/>
      <w:szCs w:val="24"/>
      <w:lang w:bidi="fa-IR" w:eastAsia="fa-IR" w:val="de-DE"/>
    </w:rPr>
  </w:style>
  <w:style w:styleId="style2" w:type="paragraph">
    <w:name w:val="Заголовок 2"/>
    <w:basedOn w:val="style0"/>
    <w:next w:val="style2"/>
    <w:pPr>
      <w:keepNext/>
      <w:shd w:fill="FFFFFF" w:val="clear"/>
      <w:tabs>
        <w:tab w:leader="none" w:pos="576" w:val="left"/>
        <w:tab w:leader="none" w:pos="709" w:val="left"/>
      </w:tabs>
      <w:suppressAutoHyphens w:val="true"/>
      <w:spacing w:after="0" w:before="0" w:line="266" w:lineRule="atLeast"/>
      <w:ind w:hanging="576" w:left="576" w:right="0"/>
      <w:contextualSpacing w:val="false"/>
      <w:jc w:val="center"/>
    </w:pPr>
    <w:rPr>
      <w:rFonts w:ascii="Times New Roman" w:cs="Calibri" w:hAnsi="Times New Roman"/>
      <w:b/>
      <w:bCs/>
      <w:i/>
      <w:iCs/>
      <w:color w:val="323232"/>
      <w:spacing w:val="-6"/>
      <w:sz w:val="28"/>
      <w:szCs w:val="28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next w:val="style16"/>
    <w:rPr>
      <w:rFonts w:ascii="Times New Roman" w:cs="Calibri" w:hAnsi="Times New Roman"/>
      <w:b/>
      <w:bCs/>
      <w:i/>
      <w:iCs/>
      <w:color w:val="323232"/>
      <w:spacing w:val="-6"/>
      <w:sz w:val="28"/>
      <w:szCs w:val="28"/>
      <w:shd w:fill="FFFFFF" w:val="clear"/>
      <w:lang w:bidi="ar-SA" w:eastAsia="ar-SA"/>
    </w:rPr>
  </w:style>
  <w:style w:styleId="style17" w:type="character">
    <w:name w:val="Основной текст с отступом Знак"/>
    <w:next w:val="style17"/>
    <w:rPr>
      <w:rFonts w:ascii="Times New Roman" w:cs="Times New Roman" w:hAnsi="Times New Roman"/>
      <w:sz w:val="24"/>
      <w:szCs w:val="24"/>
      <w:lang w:bidi="ar-SA" w:eastAsia="ar-SA"/>
    </w:rPr>
  </w:style>
  <w:style w:styleId="style18" w:type="character">
    <w:name w:val="Основной текст Знак"/>
    <w:next w:val="style18"/>
    <w:rPr>
      <w:rFonts w:ascii="Times New Roman" w:cs="Calibri" w:hAnsi="Times New Roman"/>
      <w:color w:val="00000A"/>
      <w:sz w:val="20"/>
      <w:szCs w:val="20"/>
      <w:lang w:bidi="ar-SA" w:eastAsia="ar-SA"/>
    </w:rPr>
  </w:style>
  <w:style w:styleId="style19" w:type="character">
    <w:name w:val="Выделение жирным"/>
    <w:next w:val="style19"/>
    <w:rPr>
      <w:rFonts w:cs="Times New Roman"/>
      <w:b/>
      <w:bCs/>
    </w:rPr>
  </w:style>
  <w:style w:styleId="style20" w:type="character">
    <w:name w:val="Текст выноски Знак"/>
    <w:next w:val="style20"/>
    <w:rPr>
      <w:rFonts w:ascii="Tahoma" w:cs="Tahoma" w:hAnsi="Tahoma"/>
      <w:sz w:val="16"/>
      <w:szCs w:val="16"/>
    </w:rPr>
  </w:style>
  <w:style w:styleId="style21" w:type="character">
    <w:name w:val="ListLabel 1"/>
    <w:next w:val="style21"/>
    <w:rPr>
      <w:rFonts w:cs="Times New Roman"/>
    </w:rPr>
  </w:style>
  <w:style w:styleId="style22" w:type="character">
    <w:name w:val="ListLabel 2"/>
    <w:next w:val="style22"/>
    <w:rPr>
      <w:rFonts w:cs="Times New Roman"/>
      <w:b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tabs>
        <w:tab w:leader="none" w:pos="709" w:val="left"/>
      </w:tabs>
      <w:suppressAutoHyphens w:val="true"/>
      <w:spacing w:after="120" w:before="0" w:line="100" w:lineRule="atLeast"/>
      <w:contextualSpacing w:val="false"/>
    </w:pPr>
    <w:rPr>
      <w:rFonts w:ascii="Times New Roman" w:cs="Calibri" w:hAnsi="Times New Roman"/>
      <w:color w:val="00000A"/>
      <w:sz w:val="20"/>
      <w:szCs w:val="20"/>
      <w:lang w:eastAsia="ar-SA"/>
    </w:rPr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Цитата1"/>
    <w:basedOn w:val="style0"/>
    <w:next w:val="style28"/>
    <w:pPr>
      <w:suppressAutoHyphens w:val="true"/>
      <w:spacing w:after="0" w:before="0" w:line="100" w:lineRule="atLeast"/>
      <w:ind w:hanging="0" w:left="5640" w:right="-5"/>
      <w:contextualSpacing w:val="false"/>
      <w:jc w:val="both"/>
    </w:pPr>
    <w:rPr>
      <w:rFonts w:ascii="Arial" w:cs="Arial" w:hAnsi="Arial"/>
      <w:sz w:val="24"/>
      <w:szCs w:val="28"/>
      <w:lang w:eastAsia="ar-SA"/>
    </w:rPr>
  </w:style>
  <w:style w:styleId="style29" w:type="paragraph">
    <w:name w:val="Основной текст с отступом"/>
    <w:basedOn w:val="style0"/>
    <w:next w:val="style29"/>
    <w:pPr>
      <w:suppressAutoHyphens w:val="true"/>
      <w:spacing w:after="120" w:before="0" w:line="100" w:lineRule="atLeast"/>
      <w:ind w:hanging="0" w:left="283" w:right="0"/>
      <w:contextualSpacing w:val="false"/>
    </w:pPr>
    <w:rPr>
      <w:rFonts w:ascii="Times New Roman" w:hAnsi="Times New Roman"/>
      <w:sz w:val="24"/>
      <w:szCs w:val="24"/>
      <w:lang w:eastAsia="ar-SA"/>
    </w:rPr>
  </w:style>
  <w:style w:styleId="style30" w:type="paragraph">
    <w:name w:val="ConsPlusCell"/>
    <w:next w:val="style30"/>
    <w:pPr>
      <w:widowControl w:val="false"/>
      <w:suppressAutoHyphens w:val="true"/>
      <w:textAlignment w:val="baseline"/>
    </w:pPr>
    <w:rPr>
      <w:rFonts w:ascii="Arial" w:cs="Arial" w:eastAsia="Times New Roman" w:hAnsi="Arial"/>
      <w:color w:val="auto"/>
      <w:sz w:val="20"/>
      <w:szCs w:val="20"/>
      <w:lang w:bidi="fa-IR" w:eastAsia="fa-IR" w:val="de-DE"/>
    </w:rPr>
  </w:style>
  <w:style w:styleId="style31" w:type="paragraph">
    <w:name w:val="Содержимое таблицы"/>
    <w:basedOn w:val="style0"/>
    <w:next w:val="style31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Arial" w:cs="Mangal" w:hAnsi="Arial"/>
      <w:sz w:val="20"/>
      <w:szCs w:val="24"/>
      <w:lang w:bidi="hi-IN" w:eastAsia="hi-IN"/>
    </w:rPr>
  </w:style>
  <w:style w:styleId="style32" w:type="paragraph">
    <w:name w:val="Balloon Text"/>
    <w:basedOn w:val="style0"/>
    <w:next w:val="style3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3" w:type="paragraph">
    <w:name w:val="Pro-Gramma"/>
    <w:basedOn w:val="style0"/>
    <w:next w:val="style33"/>
    <w:pPr>
      <w:widowControl w:val="false"/>
      <w:suppressAutoHyphens w:val="true"/>
      <w:spacing w:after="0" w:before="120" w:line="288" w:lineRule="auto"/>
      <w:ind w:hanging="0" w:left="1134" w:right="0"/>
      <w:contextualSpacing w:val="false"/>
      <w:jc w:val="both"/>
    </w:pPr>
    <w:rPr>
      <w:rFonts w:ascii="Georgia" w:hAnsi="Georgia"/>
      <w:sz w:val="20"/>
      <w:szCs w:val="24"/>
      <w:lang w:eastAsia="zh-CN"/>
    </w:rPr>
  </w:style>
  <w:style w:styleId="style34" w:type="paragraph">
    <w:name w:val="Char Char"/>
    <w:basedOn w:val="style0"/>
    <w:next w:val="style34"/>
    <w:pPr>
      <w:spacing w:after="160" w:before="0" w:line="240" w:lineRule="exact"/>
      <w:contextualSpacing w:val="false"/>
    </w:pPr>
    <w:rPr>
      <w:rFonts w:ascii="Verdana" w:hAnsi="Verdana"/>
      <w:sz w:val="20"/>
      <w:szCs w:val="20"/>
      <w:lang w:eastAsia="en-US" w:val="en-US"/>
    </w:rPr>
  </w:style>
  <w:style w:styleId="style35" w:type="paragraph">
    <w:name w:val="No Spacing"/>
    <w:next w:val="style35"/>
    <w:pPr>
      <w:widowControl/>
      <w:suppressAutoHyphens w:val="tru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36" w:type="paragraph">
    <w:name w:val="Содержимое врезки"/>
    <w:basedOn w:val="style0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2017-08-19T11:18:00Z</dcterms:created>
  <dc:creator>Home-Pc</dc:creator>
  <cp:lastModifiedBy>Ольга Александровна</cp:lastModifiedBy>
  <cp:lastPrinted>2017-09-08T04:23:00Z</cp:lastPrinted>
  <dcterms:modified xsi:type="dcterms:W3CDTF">2017-09-08T04:23:00Z</dcterms:modified>
  <cp:revision>35</cp:revision>
  <dc:title> </dc:title>
</cp:coreProperties>
</file>